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78BA5DBC" w14:textId="77777777" w:rsidR="000018F5" w:rsidRPr="000018F5" w:rsidRDefault="008F0520" w:rsidP="000018F5">
      <w:pPr>
        <w:shd w:val="clear" w:color="auto" w:fill="FFFFFF" w:themeFill="background1"/>
        <w:tabs>
          <w:tab w:val="left" w:pos="426"/>
          <w:tab w:val="left" w:pos="8647"/>
        </w:tabs>
        <w:spacing w:line="276" w:lineRule="auto"/>
        <w:ind w:right="-563"/>
        <w:jc w:val="center"/>
        <w:rPr>
          <w:rFonts w:ascii="Arial Narrow" w:hAnsi="Arial Narrow"/>
          <w:b/>
          <w:sz w:val="32"/>
          <w:szCs w:val="32"/>
        </w:rPr>
      </w:pPr>
      <w:r w:rsidRPr="00166D7E">
        <w:rPr>
          <w:rFonts w:ascii="Arial Narrow" w:hAnsi="Arial Narrow"/>
          <w:b/>
          <w:sz w:val="32"/>
        </w:rPr>
        <w:t xml:space="preserve">TIP </w:t>
      </w:r>
      <w:r w:rsidRPr="000018F5">
        <w:rPr>
          <w:rFonts w:ascii="Arial Narrow" w:hAnsi="Arial Narrow"/>
          <w:b/>
          <w:sz w:val="32"/>
          <w:szCs w:val="32"/>
        </w:rPr>
        <w:t>OPERACIJE</w:t>
      </w:r>
      <w:r w:rsidR="000018F5" w:rsidRPr="000018F5">
        <w:rPr>
          <w:rFonts w:ascii="Arial Narrow" w:hAnsi="Arial Narrow"/>
          <w:b/>
          <w:sz w:val="32"/>
          <w:szCs w:val="32"/>
        </w:rPr>
        <w:t xml:space="preserve"> 7.4. ULAGANJA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6226626"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0018F5">
        <w:rPr>
          <w:rFonts w:ascii="Arial Narrow" w:hAnsi="Arial Narrow"/>
          <w:b/>
          <w:i/>
          <w:sz w:val="32"/>
        </w:rPr>
        <w:t xml:space="preserve"> KARAŠICA</w:t>
      </w:r>
    </w:p>
    <w:p w14:paraId="063F6AF9" w14:textId="59057E3F" w:rsidR="00F503B4" w:rsidRPr="00166D7E" w:rsidRDefault="00F503B4" w:rsidP="00F503B4">
      <w:pPr>
        <w:jc w:val="center"/>
        <w:rPr>
          <w:rFonts w:ascii="Arial Narrow" w:hAnsi="Arial Narrow"/>
          <w:b/>
          <w:i/>
          <w:sz w:val="32"/>
        </w:rPr>
      </w:pPr>
    </w:p>
    <w:p w14:paraId="43C3A8CF" w14:textId="3A66785C" w:rsidR="00F503B4" w:rsidRPr="00166D7E" w:rsidRDefault="000018F5" w:rsidP="000018F5">
      <w:pPr>
        <w:jc w:val="center"/>
        <w:rPr>
          <w:rFonts w:ascii="Arial Narrow" w:hAnsi="Arial Narrow"/>
          <w:b/>
          <w:i/>
          <w:sz w:val="32"/>
        </w:rPr>
      </w:pPr>
      <w:r w:rsidRPr="000018F5">
        <w:rPr>
          <w:rFonts w:ascii="Arial Narrow" w:hAnsi="Arial Narrow"/>
          <w:b/>
          <w:i/>
          <w:noProof/>
          <w:sz w:val="32"/>
          <w:lang w:eastAsia="hr-HR"/>
        </w:rPr>
        <w:drawing>
          <wp:inline distT="0" distB="0" distL="0" distR="0" wp14:anchorId="6F16EEEA" wp14:editId="3A370644">
            <wp:extent cx="2463421" cy="997056"/>
            <wp:effectExtent l="0" t="0" r="0" b="0"/>
            <wp:docPr id="4" name="Picture 4" descr="C:\Users\Korisnik3\Desktop\logo mali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3\Desktop\logo mali 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253" cy="1007916"/>
                    </a:xfrm>
                    <a:prstGeom prst="rect">
                      <a:avLst/>
                    </a:prstGeom>
                    <a:noFill/>
                    <a:ln>
                      <a:noFill/>
                    </a:ln>
                  </pic:spPr>
                </pic:pic>
              </a:graphicData>
            </a:graphic>
          </wp:inline>
        </w:drawing>
      </w: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3FA8F06"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018F5">
        <w:rPr>
          <w:rFonts w:ascii="Arial Narrow" w:hAnsi="Arial Narrow"/>
          <w:b/>
        </w:rPr>
        <w:t>mjere/</w:t>
      </w:r>
      <w:r w:rsidR="000C6DB6">
        <w:rPr>
          <w:rFonts w:ascii="Arial Narrow" w:hAnsi="Arial Narrow"/>
          <w:b/>
        </w:rPr>
        <w:t>tipa operacije</w:t>
      </w:r>
      <w:r w:rsidR="000018F5">
        <w:rPr>
          <w:rFonts w:ascii="Arial Narrow" w:hAnsi="Arial Narrow"/>
          <w:b/>
        </w:rPr>
        <w:t xml:space="preserve"> 7.4. „</w:t>
      </w:r>
      <w:r w:rsidR="000018F5" w:rsidRPr="000018F5">
        <w:rPr>
          <w:rFonts w:ascii="Arial Narrow" w:hAnsi="Arial Narrow"/>
          <w:b/>
        </w:rPr>
        <w:t>Ulaganja u pokretanje, poboljšanje ili proširenje lokalnih temeljnih usluga za ruralno stanovništvo, uključujući slobodno vrijeme i kulturne aktivnosti te povezanu infrastrukturu</w:t>
      </w:r>
      <w:r w:rsidR="000018F5">
        <w:rPr>
          <w:rFonts w:ascii="Arial Narrow" w:hAnsi="Arial Narrow"/>
          <w:b/>
        </w:rPr>
        <w:t>“</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0018F5">
        <w:rPr>
          <w:rFonts w:ascii="Arial Narrow" w:hAnsi="Arial Narrow"/>
          <w:b/>
        </w:rPr>
        <w:t xml:space="preserve"> </w:t>
      </w:r>
      <w:hyperlink r:id="rId9" w:history="1">
        <w:r w:rsidR="000018F5" w:rsidRPr="0066783E">
          <w:rPr>
            <w:rStyle w:val="Hyperlink"/>
            <w:rFonts w:ascii="Arial Narrow" w:hAnsi="Arial Narrow"/>
            <w:b/>
          </w:rPr>
          <w:t>www.lag-karasica.com</w:t>
        </w:r>
      </w:hyperlink>
      <w:r w:rsidR="000018F5">
        <w:rPr>
          <w:rFonts w:ascii="Arial Narrow" w:hAnsi="Arial Narrow"/>
          <w:b/>
        </w:rPr>
        <w:t xml:space="preserve"> </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TableGrid"/>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ListParagraph"/>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ListParagraph"/>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ListParagraph"/>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ListParagraph"/>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NoSpacing"/>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NoSpacing"/>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NoSpacing"/>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0"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TableGrid"/>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ListParagraph"/>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ListParagraph"/>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ListParagraph"/>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ListParagraph"/>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ListParagraph"/>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018F5" w:rsidRPr="009C2BD7" w:rsidRDefault="000018F5" w:rsidP="00DA2163">
                                  <w:pPr>
                                    <w:jc w:val="center"/>
                                    <w:rPr>
                                      <w:sz w:val="32"/>
                                      <w:szCs w:val="32"/>
                                    </w:rPr>
                                  </w:pPr>
                                  <w:r>
                                    <w:rPr>
                                      <w:sz w:val="32"/>
                                      <w:szCs w:val="32"/>
                                    </w:rPr>
                                    <w:t xml:space="preserve">       </w:t>
                                  </w:r>
                                </w:p>
                                <w:p w14:paraId="5BC16285" w14:textId="77777777" w:rsidR="000018F5" w:rsidRDefault="000018F5"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018F5" w:rsidRPr="009C2BD7" w:rsidRDefault="000018F5" w:rsidP="00DA2163">
                            <w:pPr>
                              <w:jc w:val="center"/>
                              <w:rPr>
                                <w:sz w:val="32"/>
                                <w:szCs w:val="32"/>
                              </w:rPr>
                            </w:pPr>
                            <w:r>
                              <w:rPr>
                                <w:sz w:val="32"/>
                                <w:szCs w:val="32"/>
                              </w:rPr>
                              <w:t xml:space="preserve">       </w:t>
                            </w:r>
                          </w:p>
                          <w:p w14:paraId="5BC16285" w14:textId="77777777" w:rsidR="000018F5" w:rsidRDefault="000018F5"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018F5" w:rsidRPr="009C2BD7" w:rsidRDefault="000018F5" w:rsidP="00DA2163">
                                  <w:pPr>
                                    <w:rPr>
                                      <w:sz w:val="32"/>
                                      <w:szCs w:val="32"/>
                                    </w:rPr>
                                  </w:pPr>
                                  <w:r>
                                    <w:rPr>
                                      <w:sz w:val="32"/>
                                      <w:szCs w:val="32"/>
                                    </w:rPr>
                                    <w:t xml:space="preserve">        </w:t>
                                  </w:r>
                                </w:p>
                                <w:p w14:paraId="6D44D4E3" w14:textId="77777777" w:rsidR="000018F5" w:rsidRDefault="000018F5"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018F5" w:rsidRPr="009C2BD7" w:rsidRDefault="000018F5" w:rsidP="00DA2163">
                            <w:pPr>
                              <w:rPr>
                                <w:sz w:val="32"/>
                                <w:szCs w:val="32"/>
                              </w:rPr>
                            </w:pPr>
                            <w:r>
                              <w:rPr>
                                <w:sz w:val="32"/>
                                <w:szCs w:val="32"/>
                              </w:rPr>
                              <w:t xml:space="preserve">        </w:t>
                            </w:r>
                          </w:p>
                          <w:p w14:paraId="6D44D4E3" w14:textId="77777777" w:rsidR="000018F5" w:rsidRDefault="000018F5"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018F5" w:rsidRPr="009C2BD7" w:rsidRDefault="000018F5" w:rsidP="009A36A3">
                                  <w:pPr>
                                    <w:jc w:val="center"/>
                                    <w:rPr>
                                      <w:sz w:val="32"/>
                                      <w:szCs w:val="32"/>
                                    </w:rPr>
                                  </w:pPr>
                                  <w:r>
                                    <w:rPr>
                                      <w:sz w:val="32"/>
                                      <w:szCs w:val="32"/>
                                    </w:rPr>
                                    <w:t xml:space="preserve">        </w:t>
                                  </w:r>
                                </w:p>
                                <w:p w14:paraId="054C291C" w14:textId="77777777" w:rsidR="000018F5" w:rsidRDefault="000018F5"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018F5" w:rsidRPr="009C2BD7" w:rsidRDefault="000018F5" w:rsidP="009A36A3">
                            <w:pPr>
                              <w:jc w:val="center"/>
                              <w:rPr>
                                <w:sz w:val="32"/>
                                <w:szCs w:val="32"/>
                              </w:rPr>
                            </w:pPr>
                            <w:r>
                              <w:rPr>
                                <w:sz w:val="32"/>
                                <w:szCs w:val="32"/>
                              </w:rPr>
                              <w:t xml:space="preserve">        </w:t>
                            </w:r>
                          </w:p>
                          <w:p w14:paraId="054C291C" w14:textId="77777777" w:rsidR="000018F5" w:rsidRDefault="000018F5"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ListParagraph"/>
        <w:rPr>
          <w:rFonts w:ascii="Arial Narrow" w:hAnsi="Arial Narrow" w:cs="Arial"/>
        </w:rPr>
      </w:pPr>
    </w:p>
    <w:tbl>
      <w:tblPr>
        <w:tblStyle w:val="TableGrid"/>
        <w:tblW w:w="9351" w:type="dxa"/>
        <w:tblLayout w:type="fixed"/>
        <w:tblLook w:val="04A0" w:firstRow="1" w:lastRow="0" w:firstColumn="1" w:lastColumn="0" w:noHBand="0" w:noVBand="1"/>
      </w:tblPr>
      <w:tblGrid>
        <w:gridCol w:w="704"/>
        <w:gridCol w:w="7494"/>
        <w:gridCol w:w="12"/>
        <w:gridCol w:w="7"/>
        <w:gridCol w:w="1134"/>
      </w:tblGrid>
      <w:tr w:rsidR="007516A9" w:rsidRPr="00166D7E" w14:paraId="35FA8D2B" w14:textId="77777777" w:rsidTr="004223B2">
        <w:trPr>
          <w:trHeight w:val="274"/>
        </w:trPr>
        <w:tc>
          <w:tcPr>
            <w:tcW w:w="9351" w:type="dxa"/>
            <w:gridSpan w:val="5"/>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5"/>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0018F5">
        <w:trPr>
          <w:trHeight w:val="274"/>
        </w:trPr>
        <w:tc>
          <w:tcPr>
            <w:tcW w:w="8217" w:type="dxa"/>
            <w:gridSpan w:val="4"/>
            <w:shd w:val="clear" w:color="auto" w:fill="DEEAF6" w:themeFill="accent1" w:themeFillTint="33"/>
          </w:tcPr>
          <w:p w14:paraId="680673AD" w14:textId="425115DC" w:rsidR="001E31DD" w:rsidRPr="000018F5" w:rsidRDefault="000018F5" w:rsidP="000018F5">
            <w:pPr>
              <w:jc w:val="center"/>
              <w:rPr>
                <w:rFonts w:ascii="Arial Narrow" w:hAnsi="Arial Narrow" w:cs="Arial"/>
                <w:b/>
              </w:rPr>
            </w:pPr>
            <w:r w:rsidRPr="000018F5">
              <w:rPr>
                <w:rFonts w:ascii="Arial Narrow" w:hAnsi="Arial Narrow" w:cs="Arial"/>
                <w:b/>
              </w:rPr>
              <w:t>KRITERIJ</w:t>
            </w:r>
          </w:p>
        </w:tc>
        <w:tc>
          <w:tcPr>
            <w:tcW w:w="1134" w:type="dxa"/>
            <w:shd w:val="clear" w:color="auto" w:fill="DEEAF6" w:themeFill="accent1" w:themeFillTint="33"/>
          </w:tcPr>
          <w:p w14:paraId="42B93503" w14:textId="601F3E99" w:rsidR="001E31DD" w:rsidRPr="000018F5" w:rsidRDefault="000018F5" w:rsidP="000018F5">
            <w:pPr>
              <w:ind w:left="92"/>
              <w:jc w:val="center"/>
              <w:rPr>
                <w:rFonts w:ascii="Arial Narrow" w:hAnsi="Arial Narrow" w:cs="Arial"/>
                <w:b/>
              </w:rPr>
            </w:pPr>
            <w:r w:rsidRPr="000018F5">
              <w:rPr>
                <w:rFonts w:ascii="Arial Narrow" w:hAnsi="Arial Narrow" w:cs="Arial"/>
                <w:b/>
              </w:rPr>
              <w:t>BODOVI</w:t>
            </w:r>
          </w:p>
        </w:tc>
      </w:tr>
      <w:tr w:rsidR="000018F5" w:rsidRPr="00166D7E" w14:paraId="1964B335" w14:textId="4686D8DA" w:rsidTr="000018F5">
        <w:trPr>
          <w:trHeight w:val="340"/>
        </w:trPr>
        <w:tc>
          <w:tcPr>
            <w:tcW w:w="704" w:type="dxa"/>
            <w:shd w:val="clear" w:color="auto" w:fill="DEEAF6" w:themeFill="accent1" w:themeFillTint="33"/>
          </w:tcPr>
          <w:p w14:paraId="39F57A61" w14:textId="10EC6EC1" w:rsidR="000018F5" w:rsidRPr="00FC21EA" w:rsidRDefault="000018F5" w:rsidP="000018F5">
            <w:pPr>
              <w:rPr>
                <w:rFonts w:ascii="Arial Narrow" w:hAnsi="Arial Narrow" w:cs="Arial"/>
                <w:sz w:val="20"/>
                <w:szCs w:val="20"/>
              </w:rPr>
            </w:pPr>
            <w:r w:rsidRPr="00FC21EA">
              <w:rPr>
                <w:rFonts w:ascii="Arial Narrow" w:hAnsi="Arial Narrow"/>
                <w:b/>
                <w:sz w:val="20"/>
                <w:szCs w:val="20"/>
              </w:rPr>
              <w:t xml:space="preserve">1. </w:t>
            </w:r>
          </w:p>
        </w:tc>
        <w:tc>
          <w:tcPr>
            <w:tcW w:w="7506" w:type="dxa"/>
            <w:gridSpan w:val="2"/>
            <w:shd w:val="clear" w:color="auto" w:fill="DEEAF6" w:themeFill="accent1" w:themeFillTint="33"/>
          </w:tcPr>
          <w:p w14:paraId="48668380" w14:textId="5961AB2B" w:rsidR="000018F5" w:rsidRPr="00FC21EA" w:rsidRDefault="000018F5" w:rsidP="000018F5">
            <w:pPr>
              <w:rPr>
                <w:rFonts w:ascii="Arial Narrow" w:hAnsi="Arial Narrow" w:cs="Arial"/>
                <w:b/>
                <w:sz w:val="20"/>
                <w:szCs w:val="20"/>
              </w:rPr>
            </w:pPr>
            <w:r w:rsidRPr="00FC21EA">
              <w:rPr>
                <w:rFonts w:ascii="Arial Narrow" w:hAnsi="Arial Narrow"/>
                <w:b/>
                <w:sz w:val="20"/>
                <w:szCs w:val="20"/>
              </w:rPr>
              <w:t>Tip ulaganja</w:t>
            </w:r>
          </w:p>
        </w:tc>
        <w:tc>
          <w:tcPr>
            <w:tcW w:w="1141" w:type="dxa"/>
            <w:gridSpan w:val="2"/>
            <w:shd w:val="clear" w:color="auto" w:fill="DEEAF6" w:themeFill="accent1" w:themeFillTint="33"/>
            <w:vAlign w:val="center"/>
          </w:tcPr>
          <w:p w14:paraId="3E39ED26" w14:textId="12F06E49" w:rsidR="000018F5" w:rsidRPr="00FC21EA" w:rsidRDefault="000018F5" w:rsidP="000018F5">
            <w:pPr>
              <w:rPr>
                <w:rFonts w:ascii="Arial Narrow" w:hAnsi="Arial Narrow" w:cs="Arial"/>
                <w:b/>
                <w:sz w:val="20"/>
                <w:szCs w:val="20"/>
              </w:rPr>
            </w:pPr>
            <w:r w:rsidRPr="00FC21EA">
              <w:rPr>
                <w:rFonts w:ascii="Arial Narrow" w:hAnsi="Arial Narrow"/>
                <w:b/>
                <w:sz w:val="20"/>
                <w:szCs w:val="20"/>
              </w:rPr>
              <w:t>Najviše 25</w:t>
            </w:r>
          </w:p>
        </w:tc>
      </w:tr>
      <w:tr w:rsidR="000018F5" w:rsidRPr="00166D7E" w14:paraId="796754B3" w14:textId="77777777" w:rsidTr="000018F5">
        <w:trPr>
          <w:trHeight w:val="340"/>
        </w:trPr>
        <w:tc>
          <w:tcPr>
            <w:tcW w:w="704" w:type="dxa"/>
            <w:shd w:val="clear" w:color="auto" w:fill="F2F2F2" w:themeFill="background1" w:themeFillShade="F2"/>
          </w:tcPr>
          <w:p w14:paraId="772F04D4"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61D9213D" w14:textId="2CC39BF2"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u rekonstrukciju</w:t>
            </w:r>
          </w:p>
        </w:tc>
        <w:tc>
          <w:tcPr>
            <w:tcW w:w="1141" w:type="dxa"/>
            <w:gridSpan w:val="2"/>
            <w:shd w:val="clear" w:color="auto" w:fill="F2F2F2" w:themeFill="background1" w:themeFillShade="F2"/>
            <w:vAlign w:val="center"/>
          </w:tcPr>
          <w:p w14:paraId="61DD1479" w14:textId="674259F2" w:rsidR="000018F5" w:rsidRPr="00FC21EA" w:rsidRDefault="000018F5" w:rsidP="000018F5">
            <w:pPr>
              <w:rPr>
                <w:rFonts w:ascii="Arial Narrow" w:hAnsi="Arial Narrow" w:cs="Arial"/>
                <w:b/>
                <w:sz w:val="20"/>
                <w:szCs w:val="20"/>
              </w:rPr>
            </w:pPr>
            <w:r w:rsidRPr="00FC21EA">
              <w:rPr>
                <w:rFonts w:ascii="Arial Narrow" w:hAnsi="Arial Narrow"/>
                <w:sz w:val="20"/>
                <w:szCs w:val="20"/>
              </w:rPr>
              <w:t>25</w:t>
            </w:r>
          </w:p>
        </w:tc>
      </w:tr>
      <w:tr w:rsidR="000018F5" w:rsidRPr="00166D7E" w14:paraId="3E7C8681" w14:textId="77777777" w:rsidTr="000018F5">
        <w:trPr>
          <w:trHeight w:val="340"/>
        </w:trPr>
        <w:tc>
          <w:tcPr>
            <w:tcW w:w="704" w:type="dxa"/>
            <w:shd w:val="clear" w:color="auto" w:fill="F2F2F2" w:themeFill="background1" w:themeFillShade="F2"/>
          </w:tcPr>
          <w:p w14:paraId="21FAFCD9"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34C2D458" w14:textId="77817A3E"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u opremanje</w:t>
            </w:r>
          </w:p>
        </w:tc>
        <w:tc>
          <w:tcPr>
            <w:tcW w:w="1141" w:type="dxa"/>
            <w:gridSpan w:val="2"/>
            <w:shd w:val="clear" w:color="auto" w:fill="F2F2F2" w:themeFill="background1" w:themeFillShade="F2"/>
            <w:vAlign w:val="center"/>
          </w:tcPr>
          <w:p w14:paraId="315900B2" w14:textId="3D3B9ADA" w:rsidR="000018F5" w:rsidRPr="00FC21EA" w:rsidRDefault="000018F5" w:rsidP="000018F5">
            <w:pPr>
              <w:rPr>
                <w:rFonts w:ascii="Arial Narrow" w:hAnsi="Arial Narrow" w:cs="Arial"/>
                <w:b/>
                <w:sz w:val="20"/>
                <w:szCs w:val="20"/>
              </w:rPr>
            </w:pPr>
            <w:r w:rsidRPr="00FC21EA">
              <w:rPr>
                <w:rFonts w:ascii="Arial Narrow" w:hAnsi="Arial Narrow"/>
                <w:sz w:val="20"/>
                <w:szCs w:val="20"/>
              </w:rPr>
              <w:t>20</w:t>
            </w:r>
          </w:p>
        </w:tc>
      </w:tr>
      <w:tr w:rsidR="000018F5" w:rsidRPr="00166D7E" w14:paraId="49A4B421" w14:textId="5F4C6A2B" w:rsidTr="000018F5">
        <w:trPr>
          <w:trHeight w:val="340"/>
        </w:trPr>
        <w:tc>
          <w:tcPr>
            <w:tcW w:w="704" w:type="dxa"/>
            <w:shd w:val="clear" w:color="auto" w:fill="F2F2F2" w:themeFill="background1" w:themeFillShade="F2"/>
          </w:tcPr>
          <w:p w14:paraId="2A9C4F8E" w14:textId="24822D0B"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7D77A949" w14:textId="32B080A0" w:rsidR="000018F5" w:rsidRPr="00FC21EA" w:rsidRDefault="000018F5" w:rsidP="000018F5">
            <w:pPr>
              <w:rPr>
                <w:rFonts w:ascii="Arial Narrow" w:hAnsi="Arial Narrow" w:cs="Arial"/>
                <w:sz w:val="20"/>
                <w:szCs w:val="20"/>
              </w:rPr>
            </w:pPr>
            <w:r w:rsidRPr="00FC21EA">
              <w:rPr>
                <w:rFonts w:ascii="Arial Narrow" w:hAnsi="Arial Narrow"/>
                <w:sz w:val="20"/>
                <w:szCs w:val="20"/>
              </w:rPr>
              <w:t>Ulaganje u izgradnju</w:t>
            </w:r>
          </w:p>
        </w:tc>
        <w:tc>
          <w:tcPr>
            <w:tcW w:w="1141" w:type="dxa"/>
            <w:gridSpan w:val="2"/>
            <w:shd w:val="clear" w:color="auto" w:fill="F2F2F2" w:themeFill="background1" w:themeFillShade="F2"/>
            <w:vAlign w:val="center"/>
          </w:tcPr>
          <w:p w14:paraId="1191ED62" w14:textId="38435563" w:rsidR="000018F5" w:rsidRPr="00FC21EA" w:rsidRDefault="000018F5" w:rsidP="000018F5">
            <w:pPr>
              <w:rPr>
                <w:rFonts w:ascii="Arial Narrow" w:hAnsi="Arial Narrow" w:cs="Arial"/>
                <w:sz w:val="20"/>
                <w:szCs w:val="20"/>
              </w:rPr>
            </w:pPr>
            <w:r w:rsidRPr="00FC21EA">
              <w:rPr>
                <w:rFonts w:ascii="Arial Narrow" w:hAnsi="Arial Narrow"/>
                <w:sz w:val="20"/>
                <w:szCs w:val="20"/>
              </w:rPr>
              <w:t>15</w:t>
            </w:r>
          </w:p>
        </w:tc>
      </w:tr>
      <w:tr w:rsidR="000018F5" w:rsidRPr="00166D7E" w14:paraId="6C203BFA" w14:textId="2616C8EC" w:rsidTr="000018F5">
        <w:trPr>
          <w:trHeight w:val="340"/>
        </w:trPr>
        <w:tc>
          <w:tcPr>
            <w:tcW w:w="704" w:type="dxa"/>
            <w:shd w:val="clear" w:color="auto" w:fill="DEEAF6" w:themeFill="accent1" w:themeFillTint="33"/>
          </w:tcPr>
          <w:p w14:paraId="15294A9E" w14:textId="22107156" w:rsidR="000018F5" w:rsidRPr="00FC21EA" w:rsidRDefault="000018F5" w:rsidP="000018F5">
            <w:pPr>
              <w:rPr>
                <w:rFonts w:ascii="Arial Narrow" w:hAnsi="Arial Narrow" w:cs="Arial"/>
                <w:sz w:val="20"/>
                <w:szCs w:val="20"/>
              </w:rPr>
            </w:pPr>
            <w:r w:rsidRPr="00FC21EA">
              <w:rPr>
                <w:rFonts w:ascii="Arial Narrow" w:hAnsi="Arial Narrow"/>
                <w:b/>
                <w:sz w:val="20"/>
                <w:szCs w:val="20"/>
              </w:rPr>
              <w:t>2.</w:t>
            </w:r>
          </w:p>
        </w:tc>
        <w:tc>
          <w:tcPr>
            <w:tcW w:w="7506" w:type="dxa"/>
            <w:gridSpan w:val="2"/>
            <w:shd w:val="clear" w:color="auto" w:fill="DEEAF6" w:themeFill="accent1" w:themeFillTint="33"/>
          </w:tcPr>
          <w:p w14:paraId="395B7F09" w14:textId="6BD8B4F3" w:rsidR="000018F5" w:rsidRPr="00FC21EA" w:rsidRDefault="000018F5" w:rsidP="000018F5">
            <w:pPr>
              <w:rPr>
                <w:rFonts w:ascii="Arial Narrow" w:hAnsi="Arial Narrow" w:cs="Arial"/>
                <w:b/>
                <w:sz w:val="20"/>
                <w:szCs w:val="20"/>
              </w:rPr>
            </w:pPr>
            <w:r w:rsidRPr="00FC21EA">
              <w:rPr>
                <w:rFonts w:ascii="Arial Narrow" w:hAnsi="Arial Narrow"/>
                <w:b/>
                <w:sz w:val="20"/>
                <w:szCs w:val="20"/>
              </w:rPr>
              <w:t>Lokacija ulaganja</w:t>
            </w:r>
          </w:p>
        </w:tc>
        <w:tc>
          <w:tcPr>
            <w:tcW w:w="1141" w:type="dxa"/>
            <w:gridSpan w:val="2"/>
            <w:shd w:val="clear" w:color="auto" w:fill="DEEAF6" w:themeFill="accent1" w:themeFillTint="33"/>
            <w:vAlign w:val="center"/>
          </w:tcPr>
          <w:p w14:paraId="5326C280" w14:textId="73A2BDC5" w:rsidR="000018F5" w:rsidRPr="00FC21EA" w:rsidRDefault="000018F5" w:rsidP="000018F5">
            <w:pPr>
              <w:rPr>
                <w:rFonts w:ascii="Arial Narrow" w:hAnsi="Arial Narrow" w:cs="Arial"/>
                <w:b/>
                <w:sz w:val="20"/>
                <w:szCs w:val="20"/>
              </w:rPr>
            </w:pPr>
            <w:r w:rsidRPr="00FC21EA">
              <w:rPr>
                <w:rFonts w:ascii="Arial Narrow" w:hAnsi="Arial Narrow"/>
                <w:b/>
                <w:sz w:val="20"/>
                <w:szCs w:val="20"/>
              </w:rPr>
              <w:t>Najviše 25</w:t>
            </w:r>
          </w:p>
        </w:tc>
      </w:tr>
      <w:tr w:rsidR="000018F5" w:rsidRPr="00166D7E" w14:paraId="56BDCB60" w14:textId="77777777" w:rsidTr="000018F5">
        <w:trPr>
          <w:trHeight w:val="340"/>
        </w:trPr>
        <w:tc>
          <w:tcPr>
            <w:tcW w:w="704" w:type="dxa"/>
            <w:shd w:val="clear" w:color="auto" w:fill="F2F2F2" w:themeFill="background1" w:themeFillShade="F2"/>
          </w:tcPr>
          <w:p w14:paraId="7E71D7FF"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707850A3" w14:textId="45571332"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na području naselja koje broji do 1000 stanovnika</w:t>
            </w:r>
          </w:p>
        </w:tc>
        <w:tc>
          <w:tcPr>
            <w:tcW w:w="1141" w:type="dxa"/>
            <w:gridSpan w:val="2"/>
            <w:shd w:val="clear" w:color="auto" w:fill="F2F2F2" w:themeFill="background1" w:themeFillShade="F2"/>
            <w:vAlign w:val="center"/>
          </w:tcPr>
          <w:p w14:paraId="52BA78EC" w14:textId="38883CE8" w:rsidR="000018F5" w:rsidRPr="00FC21EA" w:rsidRDefault="000018F5" w:rsidP="000018F5">
            <w:pPr>
              <w:rPr>
                <w:rFonts w:ascii="Arial Narrow" w:hAnsi="Arial Narrow" w:cs="Arial"/>
                <w:b/>
                <w:sz w:val="20"/>
                <w:szCs w:val="20"/>
              </w:rPr>
            </w:pPr>
            <w:r w:rsidRPr="00FC21EA">
              <w:rPr>
                <w:rFonts w:ascii="Arial Narrow" w:hAnsi="Arial Narrow"/>
                <w:sz w:val="20"/>
                <w:szCs w:val="20"/>
              </w:rPr>
              <w:t>25</w:t>
            </w:r>
          </w:p>
        </w:tc>
      </w:tr>
      <w:tr w:rsidR="000018F5" w:rsidRPr="00166D7E" w14:paraId="5B091F35" w14:textId="77777777" w:rsidTr="000018F5">
        <w:trPr>
          <w:trHeight w:val="340"/>
        </w:trPr>
        <w:tc>
          <w:tcPr>
            <w:tcW w:w="704" w:type="dxa"/>
            <w:shd w:val="clear" w:color="auto" w:fill="F2F2F2" w:themeFill="background1" w:themeFillShade="F2"/>
          </w:tcPr>
          <w:p w14:paraId="4664385C"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0DD30BE6" w14:textId="5D955EA8"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na području naselja koje broji  između 1001  i 3000 stanovnika</w:t>
            </w:r>
          </w:p>
        </w:tc>
        <w:tc>
          <w:tcPr>
            <w:tcW w:w="1141" w:type="dxa"/>
            <w:gridSpan w:val="2"/>
            <w:shd w:val="clear" w:color="auto" w:fill="F2F2F2" w:themeFill="background1" w:themeFillShade="F2"/>
            <w:vAlign w:val="center"/>
          </w:tcPr>
          <w:p w14:paraId="747C2E4C" w14:textId="465D2CB8" w:rsidR="000018F5" w:rsidRPr="00FC21EA" w:rsidRDefault="000018F5" w:rsidP="000018F5">
            <w:pPr>
              <w:rPr>
                <w:rFonts w:ascii="Arial Narrow" w:hAnsi="Arial Narrow" w:cs="Arial"/>
                <w:b/>
                <w:sz w:val="20"/>
                <w:szCs w:val="20"/>
              </w:rPr>
            </w:pPr>
            <w:r w:rsidRPr="00FC21EA">
              <w:rPr>
                <w:rFonts w:ascii="Arial Narrow" w:hAnsi="Arial Narrow"/>
                <w:sz w:val="20"/>
                <w:szCs w:val="20"/>
              </w:rPr>
              <w:t>20</w:t>
            </w:r>
          </w:p>
        </w:tc>
      </w:tr>
      <w:tr w:rsidR="000018F5" w:rsidRPr="00166D7E" w14:paraId="72847890" w14:textId="77777777" w:rsidTr="000018F5">
        <w:trPr>
          <w:trHeight w:val="340"/>
        </w:trPr>
        <w:tc>
          <w:tcPr>
            <w:tcW w:w="704" w:type="dxa"/>
            <w:shd w:val="clear" w:color="auto" w:fill="F2F2F2" w:themeFill="background1" w:themeFillShade="F2"/>
          </w:tcPr>
          <w:p w14:paraId="5C205585" w14:textId="76102246"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4EB164BF" w14:textId="7F8978F0" w:rsidR="000018F5" w:rsidRPr="00FC21EA" w:rsidRDefault="000018F5" w:rsidP="000018F5">
            <w:pPr>
              <w:rPr>
                <w:rFonts w:ascii="Arial Narrow" w:hAnsi="Arial Narrow" w:cs="Arial"/>
                <w:sz w:val="20"/>
                <w:szCs w:val="20"/>
              </w:rPr>
            </w:pPr>
            <w:r w:rsidRPr="00FC21EA">
              <w:rPr>
                <w:rFonts w:ascii="Arial Narrow" w:hAnsi="Arial Narrow"/>
                <w:sz w:val="20"/>
                <w:szCs w:val="20"/>
              </w:rPr>
              <w:t>Ulaganje na području naselja koje broji 3001 stanovnik i više</w:t>
            </w:r>
          </w:p>
        </w:tc>
        <w:tc>
          <w:tcPr>
            <w:tcW w:w="1141" w:type="dxa"/>
            <w:gridSpan w:val="2"/>
            <w:shd w:val="clear" w:color="auto" w:fill="F2F2F2" w:themeFill="background1" w:themeFillShade="F2"/>
            <w:vAlign w:val="center"/>
          </w:tcPr>
          <w:p w14:paraId="5F7DA735" w14:textId="57F1972E" w:rsidR="000018F5" w:rsidRPr="00FC21EA" w:rsidRDefault="000018F5" w:rsidP="000018F5">
            <w:pPr>
              <w:rPr>
                <w:rFonts w:ascii="Arial Narrow" w:hAnsi="Arial Narrow" w:cs="Arial"/>
                <w:sz w:val="20"/>
                <w:szCs w:val="20"/>
              </w:rPr>
            </w:pPr>
            <w:r w:rsidRPr="00FC21EA">
              <w:rPr>
                <w:rFonts w:ascii="Arial Narrow" w:hAnsi="Arial Narrow"/>
                <w:sz w:val="20"/>
                <w:szCs w:val="20"/>
              </w:rPr>
              <w:t>15</w:t>
            </w:r>
          </w:p>
        </w:tc>
      </w:tr>
      <w:tr w:rsidR="000018F5" w:rsidRPr="00166D7E" w14:paraId="4C782455" w14:textId="11CB0B08" w:rsidTr="000018F5">
        <w:trPr>
          <w:trHeight w:val="397"/>
        </w:trPr>
        <w:tc>
          <w:tcPr>
            <w:tcW w:w="704" w:type="dxa"/>
            <w:shd w:val="clear" w:color="auto" w:fill="DEEAF6" w:themeFill="accent1" w:themeFillTint="33"/>
          </w:tcPr>
          <w:p w14:paraId="460BC457" w14:textId="7F081452" w:rsidR="000018F5" w:rsidRPr="00FC21EA" w:rsidRDefault="000018F5" w:rsidP="000018F5">
            <w:pPr>
              <w:rPr>
                <w:rFonts w:ascii="Arial Narrow" w:hAnsi="Arial Narrow" w:cs="Arial"/>
                <w:sz w:val="20"/>
                <w:szCs w:val="20"/>
              </w:rPr>
            </w:pPr>
            <w:r w:rsidRPr="00FC21EA">
              <w:rPr>
                <w:rFonts w:ascii="Arial Narrow" w:hAnsi="Arial Narrow"/>
                <w:b/>
                <w:sz w:val="20"/>
                <w:szCs w:val="20"/>
              </w:rPr>
              <w:t xml:space="preserve">3. </w:t>
            </w:r>
          </w:p>
        </w:tc>
        <w:tc>
          <w:tcPr>
            <w:tcW w:w="7506" w:type="dxa"/>
            <w:gridSpan w:val="2"/>
            <w:shd w:val="clear" w:color="auto" w:fill="DEEAF6" w:themeFill="accent1" w:themeFillTint="33"/>
          </w:tcPr>
          <w:p w14:paraId="5A1D31D8" w14:textId="740097BB" w:rsidR="000018F5" w:rsidRPr="00FC21EA" w:rsidRDefault="000018F5" w:rsidP="000018F5">
            <w:pPr>
              <w:rPr>
                <w:rFonts w:ascii="Arial Narrow" w:hAnsi="Arial Narrow" w:cs="Arial"/>
                <w:b/>
                <w:sz w:val="20"/>
                <w:szCs w:val="20"/>
              </w:rPr>
            </w:pPr>
            <w:r w:rsidRPr="00FC21EA">
              <w:rPr>
                <w:rFonts w:ascii="Arial Narrow" w:hAnsi="Arial Narrow"/>
                <w:b/>
                <w:sz w:val="20"/>
                <w:szCs w:val="20"/>
              </w:rPr>
              <w:t>Indeks razvijenosti JLS (prema mjestu ulaganja)</w:t>
            </w:r>
          </w:p>
        </w:tc>
        <w:tc>
          <w:tcPr>
            <w:tcW w:w="1141" w:type="dxa"/>
            <w:gridSpan w:val="2"/>
            <w:shd w:val="clear" w:color="auto" w:fill="DEEAF6" w:themeFill="accent1" w:themeFillTint="33"/>
            <w:vAlign w:val="center"/>
          </w:tcPr>
          <w:p w14:paraId="3572F87D" w14:textId="55C9D7D8" w:rsidR="000018F5" w:rsidRPr="00FC21EA" w:rsidRDefault="000018F5" w:rsidP="000018F5">
            <w:pPr>
              <w:rPr>
                <w:rFonts w:ascii="Arial Narrow" w:hAnsi="Arial Narrow" w:cs="Arial"/>
                <w:b/>
                <w:sz w:val="20"/>
                <w:szCs w:val="20"/>
              </w:rPr>
            </w:pPr>
            <w:r w:rsidRPr="00FC21EA">
              <w:rPr>
                <w:rFonts w:ascii="Arial Narrow" w:hAnsi="Arial Narrow"/>
                <w:b/>
                <w:sz w:val="20"/>
                <w:szCs w:val="20"/>
              </w:rPr>
              <w:t>Najviše 25</w:t>
            </w:r>
          </w:p>
        </w:tc>
      </w:tr>
      <w:tr w:rsidR="000018F5" w:rsidRPr="00166D7E" w14:paraId="1FAF1C6D" w14:textId="77777777" w:rsidTr="000018F5">
        <w:trPr>
          <w:trHeight w:val="397"/>
        </w:trPr>
        <w:tc>
          <w:tcPr>
            <w:tcW w:w="704" w:type="dxa"/>
            <w:shd w:val="clear" w:color="auto" w:fill="F2F2F2" w:themeFill="background1" w:themeFillShade="F2"/>
          </w:tcPr>
          <w:p w14:paraId="20D6CE8C"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6BBE8887" w14:textId="3B6A5D80"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na području JLS koja pripada I. skupini</w:t>
            </w:r>
          </w:p>
        </w:tc>
        <w:tc>
          <w:tcPr>
            <w:tcW w:w="1141" w:type="dxa"/>
            <w:gridSpan w:val="2"/>
            <w:shd w:val="clear" w:color="auto" w:fill="F2F2F2" w:themeFill="background1" w:themeFillShade="F2"/>
            <w:vAlign w:val="center"/>
          </w:tcPr>
          <w:p w14:paraId="0788A1AD" w14:textId="7A91BDC8" w:rsidR="000018F5" w:rsidRPr="00FC21EA" w:rsidRDefault="000018F5" w:rsidP="000018F5">
            <w:pPr>
              <w:rPr>
                <w:rFonts w:ascii="Arial Narrow" w:hAnsi="Arial Narrow" w:cs="Arial"/>
                <w:b/>
                <w:sz w:val="20"/>
                <w:szCs w:val="20"/>
              </w:rPr>
            </w:pPr>
            <w:r w:rsidRPr="00FC21EA">
              <w:rPr>
                <w:rFonts w:ascii="Arial Narrow" w:hAnsi="Arial Narrow"/>
                <w:sz w:val="20"/>
                <w:szCs w:val="20"/>
              </w:rPr>
              <w:t>25</w:t>
            </w:r>
          </w:p>
        </w:tc>
      </w:tr>
      <w:tr w:rsidR="000018F5" w:rsidRPr="00166D7E" w14:paraId="5FEFE00F" w14:textId="77777777" w:rsidTr="000018F5">
        <w:trPr>
          <w:trHeight w:val="397"/>
        </w:trPr>
        <w:tc>
          <w:tcPr>
            <w:tcW w:w="704" w:type="dxa"/>
            <w:shd w:val="clear" w:color="auto" w:fill="F2F2F2" w:themeFill="background1" w:themeFillShade="F2"/>
          </w:tcPr>
          <w:p w14:paraId="2ACB8B25"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5DA5C2F0" w14:textId="442A8A08"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na području JLS koja pripada II. skupini</w:t>
            </w:r>
          </w:p>
        </w:tc>
        <w:tc>
          <w:tcPr>
            <w:tcW w:w="1141" w:type="dxa"/>
            <w:gridSpan w:val="2"/>
            <w:shd w:val="clear" w:color="auto" w:fill="F2F2F2" w:themeFill="background1" w:themeFillShade="F2"/>
            <w:vAlign w:val="center"/>
          </w:tcPr>
          <w:p w14:paraId="3B344961" w14:textId="2EFE2FCC" w:rsidR="000018F5" w:rsidRPr="00FC21EA" w:rsidRDefault="000018F5" w:rsidP="000018F5">
            <w:pPr>
              <w:rPr>
                <w:rFonts w:ascii="Arial Narrow" w:hAnsi="Arial Narrow" w:cs="Arial"/>
                <w:b/>
                <w:sz w:val="20"/>
                <w:szCs w:val="20"/>
              </w:rPr>
            </w:pPr>
            <w:r w:rsidRPr="00FC21EA">
              <w:rPr>
                <w:rFonts w:ascii="Arial Narrow" w:hAnsi="Arial Narrow"/>
                <w:sz w:val="20"/>
                <w:szCs w:val="20"/>
              </w:rPr>
              <w:t>20</w:t>
            </w:r>
          </w:p>
        </w:tc>
      </w:tr>
      <w:tr w:rsidR="000018F5" w:rsidRPr="00166D7E" w14:paraId="2FC4F497" w14:textId="77777777" w:rsidTr="000018F5">
        <w:trPr>
          <w:trHeight w:val="397"/>
        </w:trPr>
        <w:tc>
          <w:tcPr>
            <w:tcW w:w="704" w:type="dxa"/>
            <w:shd w:val="clear" w:color="auto" w:fill="F2F2F2" w:themeFill="background1" w:themeFillShade="F2"/>
          </w:tcPr>
          <w:p w14:paraId="2CA9B187"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050C4C75" w14:textId="687C653F"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na području JLS koja pripada III. skupini</w:t>
            </w:r>
          </w:p>
        </w:tc>
        <w:tc>
          <w:tcPr>
            <w:tcW w:w="1141" w:type="dxa"/>
            <w:gridSpan w:val="2"/>
            <w:shd w:val="clear" w:color="auto" w:fill="F2F2F2" w:themeFill="background1" w:themeFillShade="F2"/>
            <w:vAlign w:val="center"/>
          </w:tcPr>
          <w:p w14:paraId="43DDD1C3" w14:textId="07450E50" w:rsidR="000018F5" w:rsidRPr="00FC21EA" w:rsidRDefault="000018F5" w:rsidP="000018F5">
            <w:pPr>
              <w:rPr>
                <w:rFonts w:ascii="Arial Narrow" w:hAnsi="Arial Narrow" w:cs="Arial"/>
                <w:b/>
                <w:sz w:val="20"/>
                <w:szCs w:val="20"/>
              </w:rPr>
            </w:pPr>
            <w:r w:rsidRPr="00FC21EA">
              <w:rPr>
                <w:rFonts w:ascii="Arial Narrow" w:hAnsi="Arial Narrow"/>
                <w:sz w:val="20"/>
                <w:szCs w:val="20"/>
              </w:rPr>
              <w:t>15</w:t>
            </w:r>
          </w:p>
        </w:tc>
      </w:tr>
      <w:tr w:rsidR="000018F5" w:rsidRPr="00166D7E" w14:paraId="0E65D710" w14:textId="77777777" w:rsidTr="000018F5">
        <w:trPr>
          <w:trHeight w:val="397"/>
        </w:trPr>
        <w:tc>
          <w:tcPr>
            <w:tcW w:w="704" w:type="dxa"/>
            <w:shd w:val="clear" w:color="auto" w:fill="F2F2F2" w:themeFill="background1" w:themeFillShade="F2"/>
          </w:tcPr>
          <w:p w14:paraId="4BCDEF4D"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36623637" w14:textId="7F42C02A" w:rsidR="000018F5" w:rsidRPr="00FC21EA" w:rsidRDefault="000018F5" w:rsidP="000018F5">
            <w:pPr>
              <w:rPr>
                <w:rFonts w:ascii="Arial Narrow" w:hAnsi="Arial Narrow" w:cs="Arial"/>
                <w:b/>
                <w:sz w:val="20"/>
                <w:szCs w:val="20"/>
              </w:rPr>
            </w:pPr>
            <w:r w:rsidRPr="00FC21EA">
              <w:rPr>
                <w:rFonts w:ascii="Arial Narrow" w:hAnsi="Arial Narrow"/>
                <w:sz w:val="20"/>
                <w:szCs w:val="20"/>
              </w:rPr>
              <w:t>Ulaganje na području JLS koja pripada IV., V., VI., VII. I VIII. skupini</w:t>
            </w:r>
          </w:p>
        </w:tc>
        <w:tc>
          <w:tcPr>
            <w:tcW w:w="1141" w:type="dxa"/>
            <w:gridSpan w:val="2"/>
            <w:shd w:val="clear" w:color="auto" w:fill="F2F2F2" w:themeFill="background1" w:themeFillShade="F2"/>
            <w:vAlign w:val="center"/>
          </w:tcPr>
          <w:p w14:paraId="70C69C44" w14:textId="3ED318CC" w:rsidR="000018F5" w:rsidRPr="00FC21EA" w:rsidRDefault="000018F5" w:rsidP="000018F5">
            <w:pPr>
              <w:rPr>
                <w:rFonts w:ascii="Arial Narrow" w:hAnsi="Arial Narrow" w:cs="Arial"/>
                <w:b/>
                <w:sz w:val="20"/>
                <w:szCs w:val="20"/>
              </w:rPr>
            </w:pPr>
            <w:r w:rsidRPr="00FC21EA">
              <w:rPr>
                <w:rFonts w:ascii="Arial Narrow" w:hAnsi="Arial Narrow"/>
                <w:sz w:val="20"/>
                <w:szCs w:val="20"/>
              </w:rPr>
              <w:t>10</w:t>
            </w:r>
          </w:p>
        </w:tc>
      </w:tr>
      <w:tr w:rsidR="000018F5" w:rsidRPr="00166D7E" w14:paraId="50AF6D7A" w14:textId="13138CF8" w:rsidTr="000018F5">
        <w:trPr>
          <w:trHeight w:val="397"/>
        </w:trPr>
        <w:tc>
          <w:tcPr>
            <w:tcW w:w="704" w:type="dxa"/>
            <w:shd w:val="clear" w:color="auto" w:fill="DEEAF6" w:themeFill="accent1" w:themeFillTint="33"/>
          </w:tcPr>
          <w:p w14:paraId="277F10AC" w14:textId="6BB985D1" w:rsidR="000018F5" w:rsidRPr="00FC21EA" w:rsidRDefault="000018F5" w:rsidP="000018F5">
            <w:pPr>
              <w:rPr>
                <w:rFonts w:ascii="Arial Narrow" w:hAnsi="Arial Narrow" w:cs="Arial"/>
                <w:sz w:val="20"/>
                <w:szCs w:val="20"/>
              </w:rPr>
            </w:pPr>
            <w:r w:rsidRPr="00FC21EA">
              <w:rPr>
                <w:rFonts w:ascii="Arial Narrow" w:hAnsi="Arial Narrow"/>
                <w:b/>
                <w:sz w:val="20"/>
                <w:szCs w:val="20"/>
              </w:rPr>
              <w:t>4.</w:t>
            </w:r>
          </w:p>
        </w:tc>
        <w:tc>
          <w:tcPr>
            <w:tcW w:w="7506" w:type="dxa"/>
            <w:gridSpan w:val="2"/>
            <w:shd w:val="clear" w:color="auto" w:fill="DEEAF6" w:themeFill="accent1" w:themeFillTint="33"/>
          </w:tcPr>
          <w:p w14:paraId="211BCB6D" w14:textId="474F830F" w:rsidR="000018F5" w:rsidRPr="00FC21EA" w:rsidRDefault="000018F5" w:rsidP="000018F5">
            <w:pPr>
              <w:rPr>
                <w:rFonts w:ascii="Arial Narrow" w:hAnsi="Arial Narrow" w:cs="Arial"/>
                <w:sz w:val="20"/>
                <w:szCs w:val="20"/>
              </w:rPr>
            </w:pPr>
            <w:r w:rsidRPr="00FC21EA">
              <w:rPr>
                <w:rFonts w:ascii="Arial Narrow" w:hAnsi="Arial Narrow"/>
                <w:b/>
                <w:sz w:val="20"/>
                <w:szCs w:val="20"/>
              </w:rPr>
              <w:t>Sektorski kriteriji</w:t>
            </w:r>
          </w:p>
        </w:tc>
        <w:tc>
          <w:tcPr>
            <w:tcW w:w="1141" w:type="dxa"/>
            <w:gridSpan w:val="2"/>
            <w:shd w:val="clear" w:color="auto" w:fill="DEEAF6" w:themeFill="accent1" w:themeFillTint="33"/>
            <w:vAlign w:val="center"/>
          </w:tcPr>
          <w:p w14:paraId="7013B512" w14:textId="5063B216" w:rsidR="000018F5" w:rsidRPr="00FC21EA" w:rsidRDefault="000018F5" w:rsidP="000018F5">
            <w:pPr>
              <w:rPr>
                <w:rFonts w:ascii="Arial Narrow" w:hAnsi="Arial Narrow" w:cs="Arial"/>
                <w:sz w:val="20"/>
                <w:szCs w:val="20"/>
              </w:rPr>
            </w:pPr>
            <w:r w:rsidRPr="00FC21EA">
              <w:rPr>
                <w:rFonts w:ascii="Arial Narrow" w:hAnsi="Arial Narrow"/>
                <w:b/>
                <w:sz w:val="20"/>
                <w:szCs w:val="20"/>
              </w:rPr>
              <w:t>Najviše 25</w:t>
            </w:r>
          </w:p>
        </w:tc>
      </w:tr>
      <w:tr w:rsidR="000018F5" w:rsidRPr="00166D7E" w14:paraId="1314BAA6" w14:textId="5DC2EB43" w:rsidTr="000018F5">
        <w:trPr>
          <w:trHeight w:val="397"/>
        </w:trPr>
        <w:tc>
          <w:tcPr>
            <w:tcW w:w="704" w:type="dxa"/>
            <w:shd w:val="clear" w:color="auto" w:fill="F2F2F2" w:themeFill="background1" w:themeFillShade="F2"/>
          </w:tcPr>
          <w:p w14:paraId="48420EA9" w14:textId="2CFE01AB"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2939378C" w14:textId="1BB3D574" w:rsidR="000018F5" w:rsidRPr="00FC21EA" w:rsidRDefault="000018F5" w:rsidP="000018F5">
            <w:pPr>
              <w:rPr>
                <w:rFonts w:ascii="Arial Narrow" w:hAnsi="Arial Narrow" w:cs="Arial"/>
                <w:b/>
                <w:sz w:val="20"/>
                <w:szCs w:val="20"/>
              </w:rPr>
            </w:pPr>
            <w:r w:rsidRPr="00FC21EA">
              <w:rPr>
                <w:rFonts w:ascii="Arial Narrow" w:hAnsi="Arial Narrow"/>
                <w:sz w:val="20"/>
                <w:szCs w:val="20"/>
              </w:rPr>
              <w:t>Dječji vrtić, dječje igralište, vatrogasni dom</w:t>
            </w:r>
          </w:p>
        </w:tc>
        <w:tc>
          <w:tcPr>
            <w:tcW w:w="1141" w:type="dxa"/>
            <w:gridSpan w:val="2"/>
            <w:shd w:val="clear" w:color="auto" w:fill="F2F2F2" w:themeFill="background1" w:themeFillShade="F2"/>
            <w:vAlign w:val="center"/>
          </w:tcPr>
          <w:p w14:paraId="19C84CD9" w14:textId="5D10865A" w:rsidR="000018F5" w:rsidRPr="00FC21EA" w:rsidRDefault="000018F5" w:rsidP="000018F5">
            <w:pPr>
              <w:rPr>
                <w:rFonts w:ascii="Arial Narrow" w:hAnsi="Arial Narrow" w:cs="Arial"/>
                <w:b/>
                <w:sz w:val="20"/>
                <w:szCs w:val="20"/>
              </w:rPr>
            </w:pPr>
            <w:r w:rsidRPr="00FC21EA">
              <w:rPr>
                <w:rFonts w:ascii="Arial Narrow" w:hAnsi="Arial Narrow"/>
                <w:sz w:val="20"/>
                <w:szCs w:val="20"/>
              </w:rPr>
              <w:t>25</w:t>
            </w:r>
          </w:p>
        </w:tc>
      </w:tr>
      <w:tr w:rsidR="000018F5" w:rsidRPr="00166D7E" w14:paraId="395CE10C" w14:textId="77777777" w:rsidTr="000018F5">
        <w:trPr>
          <w:trHeight w:val="397"/>
        </w:trPr>
        <w:tc>
          <w:tcPr>
            <w:tcW w:w="704" w:type="dxa"/>
            <w:shd w:val="clear" w:color="auto" w:fill="F2F2F2" w:themeFill="background1" w:themeFillShade="F2"/>
          </w:tcPr>
          <w:p w14:paraId="3325D423" w14:textId="77777777"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4D480A45" w14:textId="5DFF01E9" w:rsidR="000018F5" w:rsidRPr="00FC21EA" w:rsidRDefault="000018F5" w:rsidP="000018F5">
            <w:pPr>
              <w:rPr>
                <w:rFonts w:ascii="Arial Narrow" w:hAnsi="Arial Narrow" w:cs="Arial"/>
                <w:b/>
                <w:sz w:val="20"/>
                <w:szCs w:val="20"/>
              </w:rPr>
            </w:pPr>
            <w:r w:rsidRPr="00FC21EA">
              <w:rPr>
                <w:rFonts w:ascii="Arial Narrow" w:hAnsi="Arial Narrow"/>
                <w:sz w:val="20"/>
                <w:szCs w:val="20"/>
              </w:rPr>
              <w:t>Rekonstrukcija i opremanje prostora predškole i igraonice, tržnica, kulturni centar, turistički informativni centar</w:t>
            </w:r>
          </w:p>
        </w:tc>
        <w:tc>
          <w:tcPr>
            <w:tcW w:w="1141" w:type="dxa"/>
            <w:gridSpan w:val="2"/>
            <w:shd w:val="clear" w:color="auto" w:fill="F2F2F2" w:themeFill="background1" w:themeFillShade="F2"/>
            <w:vAlign w:val="center"/>
          </w:tcPr>
          <w:p w14:paraId="5FBEE4D0" w14:textId="1AF931F8" w:rsidR="000018F5" w:rsidRPr="00FC21EA" w:rsidRDefault="000018F5" w:rsidP="000018F5">
            <w:pPr>
              <w:rPr>
                <w:rFonts w:ascii="Arial Narrow" w:hAnsi="Arial Narrow" w:cs="Arial"/>
                <w:b/>
                <w:sz w:val="20"/>
                <w:szCs w:val="20"/>
              </w:rPr>
            </w:pPr>
            <w:r w:rsidRPr="00FC21EA">
              <w:rPr>
                <w:rFonts w:ascii="Arial Narrow" w:hAnsi="Arial Narrow"/>
                <w:sz w:val="20"/>
                <w:szCs w:val="20"/>
              </w:rPr>
              <w:t>20</w:t>
            </w:r>
          </w:p>
        </w:tc>
      </w:tr>
      <w:tr w:rsidR="000018F5" w:rsidRPr="00166D7E" w14:paraId="3D29E4C1" w14:textId="1FE3A586" w:rsidTr="000018F5">
        <w:trPr>
          <w:trHeight w:val="397"/>
        </w:trPr>
        <w:tc>
          <w:tcPr>
            <w:tcW w:w="704" w:type="dxa"/>
            <w:shd w:val="clear" w:color="auto" w:fill="F2F2F2" w:themeFill="background1" w:themeFillShade="F2"/>
          </w:tcPr>
          <w:p w14:paraId="72C15DE5" w14:textId="472265FB" w:rsidR="000018F5" w:rsidRPr="00FC21EA" w:rsidRDefault="000018F5" w:rsidP="000018F5">
            <w:pPr>
              <w:rPr>
                <w:rFonts w:ascii="Arial Narrow" w:hAnsi="Arial Narrow" w:cs="Arial"/>
                <w:sz w:val="20"/>
                <w:szCs w:val="20"/>
              </w:rPr>
            </w:pPr>
          </w:p>
        </w:tc>
        <w:tc>
          <w:tcPr>
            <w:tcW w:w="7506" w:type="dxa"/>
            <w:gridSpan w:val="2"/>
            <w:shd w:val="clear" w:color="auto" w:fill="F2F2F2" w:themeFill="background1" w:themeFillShade="F2"/>
          </w:tcPr>
          <w:p w14:paraId="7F3C08C8" w14:textId="64FEC744" w:rsidR="000018F5" w:rsidRPr="00FC21EA" w:rsidRDefault="000018F5" w:rsidP="000018F5">
            <w:pPr>
              <w:rPr>
                <w:rFonts w:ascii="Arial Narrow" w:hAnsi="Arial Narrow" w:cs="Arial"/>
                <w:sz w:val="20"/>
                <w:szCs w:val="20"/>
              </w:rPr>
            </w:pPr>
            <w:r w:rsidRPr="00FC21EA">
              <w:rPr>
                <w:rFonts w:ascii="Arial Narrow" w:hAnsi="Arial Narrow"/>
                <w:sz w:val="20"/>
                <w:szCs w:val="20"/>
              </w:rPr>
              <w:t xml:space="preserve">Planinarski dom i sklonište, sportska građevina, objekti za slatkovodni sportski ribolov (ribički dom, nadstrešnica i drugo), rekreacijske zone na rijekama i jezerima, 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 </w:t>
            </w:r>
          </w:p>
        </w:tc>
        <w:tc>
          <w:tcPr>
            <w:tcW w:w="1141" w:type="dxa"/>
            <w:gridSpan w:val="2"/>
            <w:shd w:val="clear" w:color="auto" w:fill="F2F2F2" w:themeFill="background1" w:themeFillShade="F2"/>
            <w:vAlign w:val="center"/>
          </w:tcPr>
          <w:p w14:paraId="7B51CBA9" w14:textId="1D2F632E" w:rsidR="000018F5" w:rsidRPr="00FC21EA" w:rsidRDefault="000018F5" w:rsidP="000018F5">
            <w:pPr>
              <w:rPr>
                <w:rFonts w:ascii="Arial Narrow" w:hAnsi="Arial Narrow" w:cs="Arial"/>
                <w:sz w:val="20"/>
                <w:szCs w:val="20"/>
              </w:rPr>
            </w:pPr>
            <w:r w:rsidRPr="00FC21EA">
              <w:rPr>
                <w:rFonts w:ascii="Arial Narrow" w:hAnsi="Arial Narrow"/>
                <w:sz w:val="20"/>
                <w:szCs w:val="20"/>
              </w:rPr>
              <w:t>15</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3"/>
            <w:shd w:val="clear" w:color="auto" w:fill="DEEAF6" w:themeFill="accent1" w:themeFillTint="33"/>
            <w:vAlign w:val="center"/>
          </w:tcPr>
          <w:p w14:paraId="5146D436" w14:textId="40C08438" w:rsidR="00190678" w:rsidRDefault="00FC21EA" w:rsidP="00122CFB">
            <w:pPr>
              <w:rPr>
                <w:rFonts w:ascii="Arial Narrow" w:hAnsi="Arial Narrow" w:cs="Arial"/>
                <w:sz w:val="20"/>
                <w:szCs w:val="20"/>
              </w:rPr>
            </w:pPr>
            <w:r>
              <w:rPr>
                <w:rFonts w:ascii="Arial Narrow" w:hAnsi="Arial Narrow" w:cs="Arial"/>
                <w:sz w:val="20"/>
                <w:szCs w:val="20"/>
              </w:rPr>
              <w:t>100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3"/>
            <w:shd w:val="clear" w:color="auto" w:fill="DEEAF6" w:themeFill="accent1" w:themeFillTint="33"/>
            <w:vAlign w:val="center"/>
          </w:tcPr>
          <w:p w14:paraId="40167006" w14:textId="349D2F56" w:rsidR="00190678" w:rsidRDefault="00FC21EA" w:rsidP="00122CFB">
            <w:pPr>
              <w:rPr>
                <w:rFonts w:ascii="Arial Narrow" w:hAnsi="Arial Narrow" w:cs="Arial"/>
                <w:sz w:val="20"/>
                <w:szCs w:val="20"/>
              </w:rPr>
            </w:pPr>
            <w:r>
              <w:rPr>
                <w:rFonts w:ascii="Arial Narrow" w:hAnsi="Arial Narrow" w:cs="Arial"/>
                <w:sz w:val="20"/>
                <w:szCs w:val="20"/>
              </w:rPr>
              <w:t>60</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3"/>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269A9DAC" w14:textId="77777777" w:rsidR="00FC21EA" w:rsidRDefault="00FC21EA" w:rsidP="006A15B8">
      <w:pPr>
        <w:rPr>
          <w:rFonts w:ascii="Arial Narrow" w:hAnsi="Arial Narrow" w:cs="Arial"/>
        </w:rPr>
      </w:pPr>
    </w:p>
    <w:p w14:paraId="149FA3A2" w14:textId="77777777" w:rsidR="00FC21EA" w:rsidRDefault="00FC21EA"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2F6E4780"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w:t>
            </w:r>
            <w:r w:rsidR="00AE401A">
              <w:rPr>
                <w:rFonts w:ascii="Arial Narrow" w:eastAsia="Calibri" w:hAnsi="Arial Narrow" w:cs="Arial"/>
                <w:b/>
                <w:sz w:val="20"/>
                <w:szCs w:val="20"/>
                <w:lang w:eastAsia="en-US"/>
              </w:rPr>
              <w:t>10</w:t>
            </w:r>
            <w:bookmarkStart w:id="0" w:name="_GoBack"/>
            <w:bookmarkEnd w:id="0"/>
            <w:r w:rsidR="002F2DBA">
              <w:rPr>
                <w:rFonts w:ascii="Arial Narrow" w:eastAsia="Calibri" w:hAnsi="Arial Narrow" w:cs="Arial"/>
                <w:b/>
                <w:sz w:val="20"/>
                <w:szCs w:val="20"/>
                <w:lang w:eastAsia="en-US"/>
              </w:rPr>
              <w:t>0.000,00 EUR</w:t>
            </w:r>
            <w:r w:rsidR="00306E19">
              <w:rPr>
                <w:rFonts w:ascii="Arial Narrow" w:eastAsia="Calibri" w:hAnsi="Arial Narrow" w:cs="Arial"/>
                <w:b/>
                <w:sz w:val="20"/>
                <w:szCs w:val="20"/>
                <w:lang w:eastAsia="en-US"/>
              </w:rPr>
              <w:t xml:space="preserve"> (bez PDV-a)</w:t>
            </w:r>
            <w:r w:rsidR="00190678">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1" w:history="1">
              <w:r w:rsidR="00A32623" w:rsidRPr="0003676F">
                <w:rPr>
                  <w:rStyle w:val="Hyperlink"/>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6B57C379"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podmjere 19.2. »Provedba operacija unutar CLLD strategije«, podmjere 19.3. »Priprema i provedba aktivnosti suradnje LAG-a« i podmjere 19.4. »Tekući troškovi i </w:t>
            </w:r>
            <w:r w:rsidRPr="004B26A9">
              <w:rPr>
                <w:rFonts w:ascii="Arial Narrow" w:eastAsia="Calibri" w:hAnsi="Arial Narrow" w:cs="Arial"/>
                <w:i/>
                <w:sz w:val="20"/>
                <w:szCs w:val="20"/>
                <w:lang w:eastAsia="en-US"/>
              </w:rPr>
              <w:lastRenderedPageBreak/>
              <w:t>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96F7" w14:textId="77777777" w:rsidR="00AE3D7C" w:rsidRDefault="00AE3D7C" w:rsidP="00DD1779">
      <w:r>
        <w:separator/>
      </w:r>
    </w:p>
  </w:endnote>
  <w:endnote w:type="continuationSeparator" w:id="0">
    <w:p w14:paraId="26D14C85" w14:textId="77777777" w:rsidR="00AE3D7C" w:rsidRDefault="00AE3D7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0018F5" w:rsidRDefault="000018F5">
        <w:pPr>
          <w:pStyle w:val="Footer"/>
          <w:jc w:val="right"/>
        </w:pPr>
        <w:r>
          <w:fldChar w:fldCharType="begin"/>
        </w:r>
        <w:r>
          <w:instrText xml:space="preserve"> PAGE   \* MERGEFORMAT </w:instrText>
        </w:r>
        <w:r>
          <w:fldChar w:fldCharType="separate"/>
        </w:r>
        <w:r w:rsidR="00AE401A">
          <w:rPr>
            <w:noProof/>
          </w:rPr>
          <w:t>11</w:t>
        </w:r>
        <w:r>
          <w:rPr>
            <w:noProof/>
          </w:rPr>
          <w:fldChar w:fldCharType="end"/>
        </w:r>
      </w:p>
    </w:sdtContent>
  </w:sdt>
  <w:p w14:paraId="4C3AB18A" w14:textId="77777777" w:rsidR="000018F5" w:rsidRDefault="00001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866DE" w14:textId="77777777" w:rsidR="00AE3D7C" w:rsidRDefault="00AE3D7C" w:rsidP="00DD1779">
      <w:r>
        <w:separator/>
      </w:r>
    </w:p>
  </w:footnote>
  <w:footnote w:type="continuationSeparator" w:id="0">
    <w:p w14:paraId="3D99B795" w14:textId="77777777" w:rsidR="00AE3D7C" w:rsidRDefault="00AE3D7C"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018F5" w:rsidRPr="00206F20" w14:paraId="2EF4F657" w14:textId="77777777" w:rsidTr="001F593A">
      <w:trPr>
        <w:jc w:val="right"/>
      </w:trPr>
      <w:tc>
        <w:tcPr>
          <w:tcW w:w="1524" w:type="dxa"/>
          <w:shd w:val="clear" w:color="auto" w:fill="auto"/>
        </w:tcPr>
        <w:p w14:paraId="7EC38C94" w14:textId="093E497D" w:rsidR="000018F5" w:rsidRPr="00206F20" w:rsidRDefault="000018F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359600B3" w:rsidR="000018F5" w:rsidRDefault="000018F5">
    <w:pPr>
      <w:pStyle w:val="Header"/>
    </w:pPr>
    <w:r>
      <w:rPr>
        <w:b/>
        <w:i/>
        <w:noProof/>
        <w:sz w:val="32"/>
        <w:lang w:eastAsia="hr-HR"/>
      </w:rPr>
      <w:drawing>
        <wp:anchor distT="0" distB="0" distL="114300" distR="114300" simplePos="0" relativeHeight="251658240" behindDoc="1" locked="0" layoutInCell="1" allowOverlap="1" wp14:anchorId="23894151" wp14:editId="0CD390EB">
          <wp:simplePos x="0" y="0"/>
          <wp:positionH relativeFrom="margin">
            <wp:posOffset>2152650</wp:posOffset>
          </wp:positionH>
          <wp:positionV relativeFrom="paragraph">
            <wp:posOffset>-322580</wp:posOffset>
          </wp:positionV>
          <wp:extent cx="1268420" cy="514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li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42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18F5"/>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067AD"/>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A582D"/>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3D7C"/>
    <w:rsid w:val="00AE401A"/>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36AB5"/>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21EA"/>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i.uprava.hr/" TargetMode="External"/><Relationship Id="rId4" Type="http://schemas.openxmlformats.org/officeDocument/2006/relationships/settings" Target="settings.xml"/><Relationship Id="rId9" Type="http://schemas.openxmlformats.org/officeDocument/2006/relationships/hyperlink" Target="http://www.lag-karasi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223E-AE9D-4A0B-9910-4E65F4B3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3592</Words>
  <Characters>20480</Characters>
  <Application>Microsoft Office Word</Application>
  <DocSecurity>0</DocSecurity>
  <Lines>170</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Ivan Vrbanić</cp:lastModifiedBy>
  <cp:revision>3</cp:revision>
  <cp:lastPrinted>2017-12-06T12:00:00Z</cp:lastPrinted>
  <dcterms:created xsi:type="dcterms:W3CDTF">2019-02-21T12:35:00Z</dcterms:created>
  <dcterms:modified xsi:type="dcterms:W3CDTF">2019-02-21T12:35:00Z</dcterms:modified>
</cp:coreProperties>
</file>